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spacing w:val="-2"/>
          <w:lang w:eastAsia="zh-CN"/>
          <w:rFonts/>
        </w:rPr>
        <w:t xml:space="preserve">不符合资格担任学校董事会成员的人</w:t>
      </w:r>
    </w:p>
    <w:p>
      <w:pPr>
        <w:pStyle w:val="BodyText"/>
        <w:spacing w:line="343" w:lineRule="auto" w:before="121"/>
        <w:ind w:left="113" w:right="3326"/>
        <w:jc w:val="both"/>
      </w:pPr>
      <w:r>
        <w:rPr>
          <w:lang w:eastAsia="zh-CN"/>
          <w:rFonts/>
        </w:rPr>
        <w:t xml:space="preserve">以下人士不符合资格担任学校董事会的成员。</w:t>
      </w:r>
      <w:r>
        <w:rPr>
          <w:lang w:eastAsia="zh-CN"/>
          <w:rFonts/>
        </w:rPr>
        <w:t xml:space="preserve">该人：</w:t>
      </w:r>
    </w:p>
    <w:p>
      <w:pPr>
        <w:pStyle w:val="ListParagraph"/>
        <w:numPr>
          <w:ilvl w:val="0"/>
          <w:numId w:val="1"/>
        </w:numPr>
        <w:tabs>
          <w:tab w:pos="834" w:val="left" w:leader="none"/>
        </w:tabs>
        <w:spacing w:line="240" w:lineRule="auto" w:before="1" w:after="0"/>
        <w:ind w:left="833" w:right="0" w:hanging="361"/>
        <w:jc w:val="both"/>
        <w:rPr>
          <w:sz w:val="24"/>
          <w:lang w:eastAsia="zh-CN"/>
          <w:rFonts/>
        </w:rPr>
      </w:pPr>
      <w:r>
        <w:rPr>
          <w:sz w:val="24"/>
          <w:spacing w:val="-2"/>
          <w:lang w:eastAsia="zh-CN"/>
          <w:rFonts/>
        </w:rPr>
        <w:t xml:space="preserve">是未获解除破产的破产人；或者</w:t>
      </w:r>
    </w:p>
    <w:p>
      <w:pPr>
        <w:pStyle w:val="ListParagraph"/>
        <w:numPr>
          <w:ilvl w:val="0"/>
          <w:numId w:val="1"/>
        </w:numPr>
        <w:tabs>
          <w:tab w:pos="834" w:val="left" w:leader="none"/>
        </w:tabs>
        <w:spacing w:line="240" w:lineRule="auto" w:before="116" w:after="0"/>
        <w:ind w:left="833" w:right="116" w:hanging="358"/>
        <w:jc w:val="both"/>
        <w:rPr>
          <w:sz w:val="24"/>
          <w:lang w:eastAsia="zh-CN"/>
          <w:rFonts/>
        </w:rPr>
      </w:pPr>
      <w:r>
        <w:rPr>
          <w:sz w:val="24"/>
          <w:lang w:eastAsia="zh-CN"/>
          <w:rFonts/>
        </w:rPr>
        <w:t xml:space="preserve">根据</w:t>
      </w:r>
      <w:r>
        <w:rPr>
          <w:color w:val="0000FF"/>
          <w:sz w:val="24"/>
          <w:lang w:eastAsia="zh-CN"/>
          <w:rFonts/>
        </w:rPr>
        <w:t xml:space="preserve"> </w:t>
      </w:r>
      <w:hyperlink r:id="rId5">
        <w:r>
          <w:rPr>
            <w:color w:val="0000FF"/>
            <w:sz w:val="24"/>
            <w:u w:val="single" w:color="0000FF"/>
            <w:lang w:eastAsia="zh-CN"/>
            <w:rFonts/>
          </w:rPr>
          <w:t xml:space="preserve">《1993年公司法案》，</w:t>
        </w:r>
      </w:hyperlink>
      <w:r>
        <w:rPr>
          <w:sz w:val="24"/>
          <w:spacing w:val="-1"/>
          <w:lang w:eastAsia="zh-CN"/>
          <w:rFonts/>
        </w:rPr>
        <w:t xml:space="preserve"> 或者 </w:t>
      </w:r>
      <w:r>
        <w:rPr>
          <w:color w:val="0000FF"/>
          <w:sz w:val="24"/>
          <w:lang w:eastAsia="zh-CN"/>
          <w:rFonts/>
        </w:rPr>
        <w:t xml:space="preserve"> </w:t>
      </w:r>
      <w:hyperlink r:id="rId6">
        <w:r>
          <w:rPr>
            <w:color w:val="0000FF"/>
            <w:sz w:val="24"/>
            <w:u w:val="single" w:color="0000FF"/>
            <w:spacing w:val="-1"/>
            <w:lang w:eastAsia="zh-CN"/>
            <w:rFonts/>
          </w:rPr>
          <w:t xml:space="preserve">《2013年金融市场行为法案》，</w:t>
        </w:r>
        <w:r>
          <w:rPr>
            <w:color w:val="0000FF"/>
            <w:spacing w:val="-3"/>
            <w:sz w:val="24"/>
            <w:lang w:eastAsia="zh-CN"/>
            <w:rFonts/>
          </w:rPr>
          <w:t xml:space="preserve"> </w:t>
        </w:r>
      </w:hyperlink>
      <w:r>
        <w:rPr>
          <w:sz w:val="24"/>
          <w:spacing w:val="-3"/>
          <w:lang w:eastAsia="zh-CN"/>
          <w:rFonts/>
        </w:rPr>
        <w:t xml:space="preserve">或</w:t>
      </w:r>
      <w:r>
        <w:rPr>
          <w:color w:val="0000FF"/>
          <w:sz w:val="24"/>
          <w:lang w:eastAsia="zh-CN"/>
          <w:rFonts/>
        </w:rPr>
        <w:t xml:space="preserve"> </w:t>
      </w:r>
      <w:hyperlink r:id="rId7">
        <w:r>
          <w:rPr>
            <w:color w:val="0000FF"/>
            <w:sz w:val="24"/>
            <w:u w:val="single" w:color="0000FF"/>
            <w:spacing w:val="-1"/>
            <w:lang w:eastAsia="zh-CN"/>
            <w:rFonts/>
          </w:rPr>
          <w:t xml:space="preserve">《1993年收购法案》 </w:t>
        </w:r>
      </w:hyperlink>
      <w:r>
        <w:rPr>
          <w:sz w:val="24"/>
          <w:lang w:eastAsia="zh-CN"/>
          <w:rFonts/>
        </w:rPr>
        <w:t xml:space="preserve">被禁止在一家有法人地位的或无法人地位的团体中担任董事或发起人，或牵涉或参与其经营；或者</w:t>
      </w:r>
    </w:p>
    <w:p>
      <w:pPr>
        <w:pStyle w:val="ListParagraph"/>
        <w:numPr>
          <w:ilvl w:val="0"/>
          <w:numId w:val="1"/>
        </w:numPr>
        <w:tabs>
          <w:tab w:pos="834" w:val="left" w:leader="none"/>
        </w:tabs>
        <w:spacing w:line="240" w:lineRule="auto" w:before="116" w:after="0"/>
        <w:ind w:left="833" w:right="130" w:hanging="358"/>
        <w:jc w:val="both"/>
        <w:rPr>
          <w:sz w:val="24"/>
          <w:lang w:eastAsia="zh-CN"/>
          <w:rFonts/>
        </w:rPr>
      </w:pPr>
      <w:r>
        <w:rPr>
          <w:spacing w:val="-7"/>
          <w:sz w:val="24"/>
          <w:lang w:eastAsia="zh-CN"/>
          <w:rFonts/>
        </w:rPr>
        <w:t xml:space="preserve">是一名获永久任命的董事会成员的教职员，除非他们是要竞选</w:t>
      </w:r>
      <w:r>
        <w:rPr>
          <w:sz w:val="24"/>
          <w:lang w:eastAsia="zh-CN"/>
          <w:rFonts/>
        </w:rPr>
        <w:t xml:space="preserve"> 教职员代表；或者</w:t>
      </w:r>
    </w:p>
    <w:p>
      <w:pPr>
        <w:pStyle w:val="ListParagraph"/>
        <w:numPr>
          <w:ilvl w:val="0"/>
          <w:numId w:val="1"/>
        </w:numPr>
        <w:tabs>
          <w:tab w:pos="834" w:val="left" w:leader="none"/>
        </w:tabs>
        <w:spacing w:line="240" w:lineRule="auto" w:before="117" w:after="0"/>
        <w:ind w:left="833" w:right="117" w:hanging="358"/>
        <w:jc w:val="both"/>
        <w:rPr>
          <w:sz w:val="24"/>
          <w:lang w:eastAsia="zh-CN"/>
          <w:rFonts/>
        </w:rPr>
      </w:pPr>
      <w:r>
        <w:rPr>
          <w:sz w:val="24"/>
          <w:lang w:eastAsia="zh-CN"/>
          <w:rFonts/>
        </w:rPr>
        <w:t xml:space="preserve">与董事会签有合同或分包合同且未得到教育部长批准其参选，以及在任何财政年度收到超过$25,000的款项。</w:t>
      </w:r>
      <w:r>
        <w:rPr>
          <w:sz w:val="24"/>
          <w:lang w:eastAsia="zh-CN"/>
          <w:rFonts/>
        </w:rPr>
        <w:t xml:space="preserve">这也包括某人在承包公司或控制承包公司的公司中拥有10%或更多股权的情况；或者</w:t>
      </w:r>
    </w:p>
    <w:p>
      <w:pPr>
        <w:pStyle w:val="ListParagraph"/>
        <w:numPr>
          <w:ilvl w:val="0"/>
          <w:numId w:val="1"/>
        </w:numPr>
        <w:tabs>
          <w:tab w:pos="834" w:val="left" w:leader="none"/>
        </w:tabs>
        <w:spacing w:line="240" w:lineRule="auto" w:before="116" w:after="0"/>
        <w:ind w:left="833" w:right="122" w:hanging="358"/>
        <w:jc w:val="both"/>
        <w:rPr>
          <w:sz w:val="24"/>
          <w:lang w:eastAsia="zh-CN"/>
          <w:rFonts/>
        </w:rPr>
      </w:pPr>
      <w:hyperlink r:id="rId8">
        <w:r>
          <w:rPr>
            <w:color w:val="0000FF"/>
            <w:sz w:val="24"/>
            <w:u w:val="single" w:color="0000FF"/>
            <w:lang w:eastAsia="zh-CN"/>
            <w:rFonts/>
          </w:rPr>
          <w:t xml:space="preserve">受《1988年</w:t>
        </w:r>
      </w:hyperlink>
      <w:r>
        <w:rPr>
          <w:color w:val="0000FF"/>
          <w:sz w:val="24"/>
          <w:lang w:eastAsia="zh-CN"/>
          <w:rFonts/>
        </w:rPr>
        <w:t xml:space="preserve"> </w:t>
      </w:r>
      <w:hyperlink r:id="rId8">
        <w:r>
          <w:rPr>
            <w:color w:val="0000FF"/>
            <w:sz w:val="24"/>
            <w:u w:val="single" w:color="0000FF"/>
            <w:lang w:eastAsia="zh-CN"/>
            <w:rFonts/>
          </w:rPr>
          <w:t xml:space="preserve">个人和财产权保护法》</w:t>
        </w:r>
      </w:hyperlink>
      <w:r>
        <w:rPr>
          <w:color w:val="0000FF"/>
          <w:spacing w:val="1"/>
          <w:sz w:val="24"/>
          <w:lang w:eastAsia="zh-CN"/>
          <w:rFonts/>
        </w:rPr>
        <w:t xml:space="preserve"> </w:t>
      </w:r>
      <w:r>
        <w:rPr>
          <w:sz w:val="24"/>
          <w:lang w:eastAsia="zh-CN"/>
          <w:rFonts/>
        </w:rPr>
        <w:t xml:space="preserve">下的财产令约束；或者</w:t>
      </w:r>
    </w:p>
    <w:p>
      <w:pPr>
        <w:pStyle w:val="ListParagraph"/>
        <w:numPr>
          <w:ilvl w:val="0"/>
          <w:numId w:val="1"/>
        </w:numPr>
        <w:tabs>
          <w:tab w:pos="834" w:val="left" w:leader="none"/>
        </w:tabs>
        <w:spacing w:line="240" w:lineRule="auto" w:before="117" w:after="0"/>
        <w:ind w:left="833" w:right="122" w:hanging="358"/>
        <w:jc w:val="both"/>
        <w:rPr>
          <w:sz w:val="24"/>
          <w:lang w:eastAsia="zh-CN"/>
          <w:rFonts/>
        </w:rPr>
      </w:pPr>
      <w:r>
        <w:rPr>
          <w:sz w:val="24"/>
          <w:lang w:eastAsia="zh-CN"/>
          <w:rFonts/>
        </w:rPr>
        <w:t xml:space="preserve">是根据该法做出的一项个人命令的对象，故该人处于</w:t>
      </w:r>
      <w:r>
        <w:rPr>
          <w:sz w:val="24"/>
          <w:spacing w:val="-3"/>
          <w:lang w:eastAsia="zh-CN"/>
          <w:rFonts/>
        </w:rPr>
        <w:t xml:space="preserve">或无能力管理自己的财产事务，或无能力就其福祉/个人护理之事进行沟通/做决定之状况；或者</w:t>
      </w:r>
    </w:p>
    <w:p>
      <w:pPr>
        <w:pStyle w:val="ListParagraph"/>
        <w:numPr>
          <w:ilvl w:val="0"/>
          <w:numId w:val="1"/>
        </w:numPr>
        <w:tabs>
          <w:tab w:pos="834" w:val="left" w:leader="none"/>
        </w:tabs>
        <w:spacing w:line="240" w:lineRule="auto" w:before="116" w:after="0"/>
        <w:ind w:left="833" w:right="121" w:hanging="358"/>
        <w:jc w:val="both"/>
        <w:rPr>
          <w:sz w:val="24"/>
          <w:lang w:eastAsia="zh-CN"/>
          <w:rFonts/>
        </w:rPr>
      </w:pPr>
      <w:r>
        <w:rPr>
          <w:sz w:val="24"/>
          <w:spacing w:val="-2"/>
          <w:lang w:eastAsia="zh-CN"/>
          <w:rFonts/>
        </w:rPr>
        <w:t xml:space="preserve">是被定罪为犯有可判处2年</w:t>
      </w:r>
      <w:r>
        <w:rPr>
          <w:sz w:val="24"/>
          <w:spacing w:val="-1"/>
          <w:lang w:eastAsia="zh-CN"/>
          <w:rFonts/>
        </w:rPr>
        <w:t xml:space="preserve">或以上监禁的违法行为的人，或因任何其他违法行为被判处监禁的人，除非该人已获得赦免、服刑或以其他方式受到了给予其的处罚；或者</w:t>
      </w:r>
    </w:p>
    <w:p>
      <w:pPr>
        <w:pStyle w:val="ListParagraph"/>
        <w:numPr>
          <w:ilvl w:val="0"/>
          <w:numId w:val="1"/>
        </w:numPr>
        <w:tabs>
          <w:tab w:pos="834" w:val="left" w:leader="none"/>
        </w:tabs>
        <w:spacing w:line="240" w:lineRule="auto" w:before="116" w:after="0"/>
        <w:ind w:left="833" w:right="0" w:hanging="359"/>
        <w:jc w:val="both"/>
        <w:rPr>
          <w:sz w:val="24"/>
          <w:lang w:eastAsia="zh-CN"/>
          <w:rFonts/>
        </w:rPr>
      </w:pPr>
      <w:r>
        <w:rPr>
          <w:sz w:val="24"/>
          <w:spacing w:val="-1"/>
          <w:lang w:eastAsia="zh-CN"/>
          <w:rFonts/>
        </w:rPr>
        <w:t xml:space="preserve">不是新西兰公民，</w:t>
      </w:r>
      <w:r>
        <w:rPr>
          <w:sz w:val="24"/>
          <w:spacing w:val="-2"/>
          <w:b w:val="true"/>
          <w:lang w:eastAsia="zh-CN"/>
          <w:rFonts/>
        </w:rPr>
        <w:t xml:space="preserve">并且</w:t>
      </w:r>
      <w:r>
        <w:rPr>
          <w:sz w:val="24"/>
          <w:spacing w:val="-1"/>
          <w:lang w:eastAsia="zh-CN"/>
          <w:rFonts/>
        </w:rPr>
        <w:t xml:space="preserve">是——</w:t>
      </w:r>
    </w:p>
    <w:p>
      <w:pPr>
        <w:pStyle w:val="ListParagraph"/>
        <w:numPr>
          <w:ilvl w:val="1"/>
          <w:numId w:val="1"/>
        </w:numPr>
        <w:tabs>
          <w:tab w:pos="1194" w:val="left" w:leader="none"/>
        </w:tabs>
        <w:spacing w:line="240" w:lineRule="auto" w:before="119" w:after="0"/>
        <w:ind w:left="1193" w:right="0" w:hanging="361"/>
        <w:jc w:val="left"/>
        <w:rPr>
          <w:sz w:val="24"/>
          <w:lang w:eastAsia="zh-CN"/>
          <w:rFonts/>
        </w:rPr>
      </w:pPr>
      <w:r>
        <w:rPr>
          <w:sz w:val="24"/>
          <w:spacing w:val="-1"/>
          <w:lang w:eastAsia="zh-CN"/>
          <w:rFonts/>
        </w:rPr>
        <w:t xml:space="preserve">适用</w:t>
      </w:r>
      <w:r>
        <w:rPr>
          <w:color w:val="0000FF"/>
          <w:spacing w:val="2"/>
          <w:sz w:val="24"/>
          <w:lang w:eastAsia="zh-CN"/>
          <w:rFonts/>
        </w:rPr>
        <w:t xml:space="preserve"> </w:t>
      </w:r>
      <w:hyperlink r:id="rId9">
        <w:r>
          <w:rPr>
            <w:color w:val="0000FF"/>
            <w:sz w:val="24"/>
            <w:u w:val="single" w:color="0000FF"/>
            <w:spacing w:val="-1"/>
            <w:lang w:eastAsia="zh-CN"/>
            <w:rFonts/>
          </w:rPr>
          <w:t xml:space="preserve">《2009 年移民法》第15</w:t>
        </w:r>
        <w:r>
          <w:rPr>
            <w:color w:val="0000FF"/>
            <w:spacing w:val="-4"/>
            <w:sz w:val="24"/>
            <w:lang w:eastAsia="zh-CN"/>
            <w:rFonts/>
          </w:rPr>
          <w:t xml:space="preserve"> </w:t>
        </w:r>
      </w:hyperlink>
      <w:r>
        <w:rPr>
          <w:sz w:val="24"/>
          <w:lang w:eastAsia="zh-CN"/>
          <w:rFonts/>
        </w:rPr>
        <w:t>或</w:t>
      </w:r>
      <w:r>
        <w:rPr>
          <w:color w:val="0000FF"/>
          <w:spacing w:val="-5"/>
          <w:sz w:val="24"/>
          <w:lang w:eastAsia="zh-CN"/>
          <w:rFonts/>
        </w:rPr>
        <w:t xml:space="preserve"> </w:t>
      </w:r>
      <w:hyperlink r:id="rId10">
        <w:r>
          <w:rPr>
            <w:color w:val="0000FF"/>
            <w:sz w:val="24"/>
            <w:u w:val="single" w:color="0000FF"/>
            <w:lang w:eastAsia="zh-CN"/>
            <w:rFonts/>
          </w:rPr>
          <w:t xml:space="preserve">16</w:t>
        </w:r>
        <w:r>
          <w:rPr>
            <w:color w:val="0000FF"/>
            <w:spacing w:val="-3"/>
            <w:sz w:val="24"/>
            <w:lang w:eastAsia="zh-CN"/>
            <w:rFonts/>
          </w:rPr>
          <w:t xml:space="preserve"> </w:t>
        </w:r>
      </w:hyperlink>
      <w:r>
        <w:rPr>
          <w:sz w:val="24"/>
          <w:spacing w:val="-2"/>
          <w:lang w:eastAsia="zh-CN"/>
          <w:rFonts/>
        </w:rPr>
        <w:t xml:space="preserve">条的人；或者</w:t>
      </w:r>
    </w:p>
    <w:p>
      <w:pPr>
        <w:pStyle w:val="ListParagraph"/>
        <w:numPr>
          <w:ilvl w:val="1"/>
          <w:numId w:val="1"/>
        </w:numPr>
        <w:tabs>
          <w:tab w:pos="1194" w:val="left" w:leader="none"/>
        </w:tabs>
        <w:spacing w:line="240" w:lineRule="auto" w:before="120" w:after="0"/>
        <w:ind w:left="1193" w:right="158" w:hanging="360"/>
        <w:jc w:val="left"/>
        <w:rPr>
          <w:sz w:val="24"/>
          <w:lang w:eastAsia="zh-CN"/>
          <w:rFonts/>
        </w:rPr>
      </w:pPr>
      <w:r>
        <w:rPr>
          <w:spacing w:val="-8"/>
          <w:sz w:val="24"/>
          <w:lang w:eastAsia="zh-CN"/>
          <w:rFonts/>
        </w:rPr>
        <w:t xml:space="preserve">按照或根据该法案必须立即或在</w:t>
      </w:r>
      <w:r>
        <w:rPr>
          <w:spacing w:val="-1"/>
          <w:sz w:val="24"/>
          <w:lang w:eastAsia="zh-CN"/>
          <w:rFonts/>
        </w:rPr>
        <w:t xml:space="preserve">指定时间内离开新西兰的人，该时间少于12个月；或者</w:t>
      </w:r>
    </w:p>
    <w:p>
      <w:pPr>
        <w:pStyle w:val="ListParagraph"/>
        <w:numPr>
          <w:ilvl w:val="1"/>
          <w:numId w:val="1"/>
        </w:numPr>
        <w:tabs>
          <w:tab w:pos="1194" w:val="left" w:leader="none"/>
        </w:tabs>
        <w:spacing w:line="240" w:lineRule="auto" w:before="120" w:after="0"/>
        <w:ind w:left="1193" w:right="0" w:hanging="361"/>
        <w:jc w:val="left"/>
        <w:rPr>
          <w:sz w:val="24"/>
          <w:lang w:eastAsia="zh-CN"/>
          <w:rFonts/>
        </w:rPr>
      </w:pPr>
      <w:r>
        <w:rPr>
          <w:sz w:val="24"/>
          <w:spacing w:val="-2"/>
          <w:lang w:eastAsia="zh-CN"/>
          <w:rFonts/>
        </w:rPr>
        <w:t xml:space="preserve">被该法案视为在新西兰非法逗留。</w:t>
      </w:r>
    </w:p>
    <w:p>
      <w:pPr>
        <w:pStyle w:val="BodyText"/>
        <w:spacing w:before="5"/>
        <w:rPr>
          <w:sz w:val="34"/>
          <w:lang w:eastAsia="zh-CN"/>
          <w:rFonts/>
        </w:rPr>
      </w:pPr>
    </w:p>
    <w:p>
      <w:pPr>
        <w:pStyle w:val="BodyText"/>
        <w:ind w:left="113"/>
      </w:pPr>
      <w:r>
        <w:rPr>
          <w:lang w:eastAsia="zh-CN"/>
          <w:rFonts/>
        </w:rPr>
        <w:t xml:space="preserve">选举（或补缺选举）董事会成员的选举监察员没有资格</w:t>
      </w:r>
      <w:r>
        <w:rPr>
          <w:spacing w:val="-1"/>
          <w:lang w:eastAsia="zh-CN"/>
          <w:rFonts/>
        </w:rPr>
        <w:t xml:space="preserve">在该选举中被提名为候选人。</w:t>
      </w:r>
    </w:p>
    <w:p>
      <w:pPr>
        <w:pStyle w:val="BodyText"/>
        <w:rPr>
          <w:sz w:val="26"/>
          <w:lang w:eastAsia="zh-CN"/>
          <w:rFonts/>
        </w:rPr>
      </w:pPr>
    </w:p>
    <w:p>
      <w:pPr>
        <w:pStyle w:val="BodyText"/>
        <w:rPr>
          <w:sz w:val="22"/>
          <w:lang w:eastAsia="zh-CN"/>
          <w:rFonts/>
        </w:rPr>
      </w:pPr>
    </w:p>
    <w:p>
      <w:pPr>
        <w:pStyle w:val="BodyText"/>
        <w:ind w:left="113"/>
      </w:pPr>
      <w:r>
        <w:rPr>
          <w:spacing w:val="-2"/>
          <w:lang w:eastAsia="zh-CN"/>
          <w:rFonts/>
        </w:rPr>
        <w:t xml:space="preserve">想要查询更多的信息：</w:t>
      </w:r>
    </w:p>
    <w:p>
      <w:pPr>
        <w:pStyle w:val="ListParagraph"/>
        <w:numPr>
          <w:ilvl w:val="0"/>
          <w:numId w:val="1"/>
        </w:numPr>
        <w:tabs>
          <w:tab w:pos="833" w:val="left" w:leader="none"/>
          <w:tab w:pos="834" w:val="left" w:leader="none"/>
        </w:tabs>
        <w:spacing w:line="240" w:lineRule="auto" w:before="0" w:after="0"/>
        <w:ind w:left="833" w:right="621" w:hanging="360"/>
        <w:jc w:val="left"/>
        <w:rPr>
          <w:sz w:val="24"/>
          <w:lang w:eastAsia="zh-CN"/>
          <w:rFonts/>
        </w:rPr>
      </w:pPr>
      <w:r>
        <w:rPr>
          <w:sz w:val="24"/>
          <w:lang w:eastAsia="zh-CN"/>
          <w:rFonts/>
        </w:rPr>
        <w:t xml:space="preserve">请参阅《2020 年教育和培训法》</w:t>
      </w:r>
      <w:r>
        <w:rPr>
          <w:color w:val="0000FF"/>
          <w:sz w:val="24"/>
          <w:lang w:eastAsia="zh-CN"/>
          <w:rFonts/>
        </w:rPr>
        <w:t xml:space="preserve"> </w:t>
      </w:r>
      <w:hyperlink r:id="rId11">
        <w:r>
          <w:rPr>
            <w:color w:val="0000FF"/>
            <w:sz w:val="24"/>
            <w:u w:val="single" w:color="0000FF"/>
            <w:lang w:eastAsia="zh-CN"/>
            <w:rFonts/>
          </w:rPr>
          <w:t xml:space="preserve">附表23</w:t>
        </w:r>
        <w:r>
          <w:rPr>
            <w:color w:val="0000FF"/>
            <w:sz w:val="24"/>
            <w:lang w:eastAsia="zh-CN"/>
            <w:rFonts/>
          </w:rPr>
          <w:t xml:space="preserve"> </w:t>
        </w:r>
      </w:hyperlink>
      <w:r>
        <w:rPr>
          <w:sz w:val="24"/>
          <w:lang w:eastAsia="zh-CN"/>
          <w:rFonts/>
        </w:rPr>
        <w:t xml:space="preserve">第9和10</w:t>
      </w:r>
      <w:r>
        <w:rPr>
          <w:sz w:val="24"/>
          <w:spacing w:val="-1"/>
          <w:lang w:eastAsia="zh-CN"/>
          <w:rFonts/>
        </w:rPr>
        <w:t xml:space="preserve">条（以上内容是这些条款的摘要）。</w:t>
      </w:r>
    </w:p>
    <w:p>
      <w:pPr>
        <w:pStyle w:val="ListParagraph"/>
        <w:numPr>
          <w:ilvl w:val="0"/>
          <w:numId w:val="1"/>
        </w:numPr>
        <w:tabs>
          <w:tab w:pos="833" w:val="left" w:leader="none"/>
          <w:tab w:pos="834" w:val="left" w:leader="none"/>
        </w:tabs>
        <w:spacing w:line="283" w:lineRule="exact" w:before="0" w:after="0"/>
        <w:ind w:left="833" w:right="0" w:hanging="361"/>
        <w:jc w:val="left"/>
        <w:rPr>
          <w:sz w:val="24"/>
          <w:lang w:eastAsia="zh-CN"/>
          <w:rFonts/>
        </w:rPr>
      </w:pPr>
      <w:r>
        <w:rPr>
          <w:sz w:val="24"/>
          <w:spacing w:val="-2"/>
          <w:lang w:eastAsia="zh-CN"/>
          <w:rFonts/>
        </w:rPr>
        <w:t xml:space="preserve">致电NZSTA咨询和支持中心0800 782 435，选分机1。</w:t>
      </w:r>
    </w:p>
    <w:p>
      <w:pPr>
        <w:pStyle w:val="BodyText"/>
        <w:rPr>
          <w:sz w:val="28"/>
          <w:lang w:eastAsia="zh-CN"/>
          <w:rFonts/>
        </w:rPr>
      </w:pPr>
    </w:p>
    <w:p>
      <w:pPr>
        <w:pStyle w:val="BodyText"/>
        <w:rPr>
          <w:sz w:val="28"/>
          <w:lang w:eastAsia="zh-CN"/>
          <w:rFonts/>
        </w:rPr>
      </w:pPr>
    </w:p>
    <w:p>
      <w:pPr>
        <w:pStyle w:val="BodyText"/>
        <w:rPr>
          <w:sz w:val="28"/>
          <w:lang w:eastAsia="zh-CN"/>
          <w:rFonts/>
        </w:rPr>
      </w:pPr>
    </w:p>
    <w:p>
      <w:pPr>
        <w:pStyle w:val="BodyText"/>
        <w:rPr>
          <w:sz w:val="28"/>
          <w:lang w:eastAsia="zh-CN"/>
          <w:rFonts/>
        </w:rPr>
      </w:pPr>
    </w:p>
    <w:p>
      <w:pPr>
        <w:pStyle w:val="BodyText"/>
        <w:rPr>
          <w:sz w:val="28"/>
          <w:lang w:eastAsia="zh-CN"/>
          <w:rFonts/>
        </w:rPr>
      </w:pPr>
    </w:p>
    <w:p>
      <w:pPr>
        <w:pStyle w:val="BodyText"/>
        <w:rPr>
          <w:sz w:val="28"/>
          <w:lang w:eastAsia="zh-CN"/>
          <w:rFonts/>
        </w:rPr>
      </w:pPr>
    </w:p>
    <w:p>
      <w:pPr>
        <w:pStyle w:val="BodyText"/>
        <w:rPr>
          <w:sz w:val="28"/>
          <w:lang w:eastAsia="zh-CN"/>
          <w:rFonts/>
        </w:rPr>
      </w:pPr>
    </w:p>
    <w:p>
      <w:pPr>
        <w:tabs>
          <w:tab w:pos="6571" w:val="left" w:leader="none"/>
        </w:tabs>
        <w:spacing w:before="216"/>
        <w:ind w:left="113" w:right="0" w:firstLine="0"/>
        <w:jc w:val="left"/>
        <w:rPr>
          <w:sz w:val="22"/>
          <w:lang w:eastAsia="zh-CN"/>
          <w:rFonts/>
        </w:rPr>
      </w:pPr>
      <w:r>
        <w:rPr>
          <w:sz w:val="22"/>
          <w:spacing w:val="-2"/>
          <w:lang w:eastAsia="zh-CN"/>
          <w:rFonts/>
        </w:rPr>
        <w:t xml:space="preserve">不符合资格担任学校董事会成员的人</w:t>
      </w:r>
      <w:r>
        <w:rPr>
          <w:sz w:val="22"/>
          <w:lang w:eastAsia="zh-CN"/>
          <w:rFonts/>
        </w:rPr>
        <w:tab/>
      </w:r>
      <w:r>
        <w:rPr>
          <w:sz w:val="22"/>
          <w:spacing w:val="-2"/>
          <w:lang w:eastAsia="zh-CN"/>
          <w:rFonts/>
        </w:rPr>
        <w:t xml:space="preserve">©NZSTA 2020年9月</w:t>
      </w:r>
    </w:p>
    <w:sectPr>
      <w:type w:val="continuous"/>
      <w:pgSz w:w="11920" w:h="16850"/>
      <w:pgMar w:top="1400" w:bottom="280" w:left="88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33" w:hanging="360"/>
      </w:pPr>
      <w:rPr>
        <w:rFonts w:hint="default" w:ascii="Symbol" w:hAnsi="Symbol" w:eastAsia="Symbol" w:cs="Symbol"/>
        <w:b w:val="0"/>
        <w:bCs w:val="0"/>
        <w:i w:val="0"/>
        <w:iCs w:val="0"/>
        <w:w w:val="100"/>
        <w:sz w:val="24"/>
        <w:szCs w:val="24"/>
        <w:lang w:val="en-nz" w:eastAsia="zh-CN" w:bidi="ar-SA"/>
      </w:rPr>
    </w:lvl>
    <w:lvl w:ilvl="1">
      <w:start w:val="0"/>
      <w:numFmt w:val="bullet"/>
      <w:lvlText w:val=""/>
      <w:lvlJc w:val="left"/>
      <w:pPr>
        <w:ind w:left="1193" w:hanging="360"/>
      </w:pPr>
      <w:rPr>
        <w:rFonts w:hint="default" w:ascii="Wingdings" w:hAnsi="Wingdings" w:eastAsia="Wingdings" w:cs="Wingdings"/>
        <w:b w:val="0"/>
        <w:bCs w:val="0"/>
        <w:i w:val="0"/>
        <w:iCs w:val="0"/>
        <w:w w:val="100"/>
        <w:sz w:val="24"/>
        <w:szCs w:val="24"/>
        <w:lang w:val="en-nz" w:eastAsia="zh-CN" w:bidi="ar-SA"/>
      </w:rPr>
    </w:lvl>
    <w:lvl w:ilvl="2">
      <w:start w:val="0"/>
      <w:numFmt w:val="bullet"/>
      <w:lvlText w:val="•"/>
      <w:lvlJc w:val="left"/>
      <w:pPr>
        <w:ind w:left="2227" w:hanging="360"/>
      </w:pPr>
      <w:rPr>
        <w:rFonts w:hint="default"/>
        <w:lang w:val="en-nz" w:eastAsia="zh-CN" w:bidi="ar-SA"/>
      </w:rPr>
    </w:lvl>
    <w:lvl w:ilvl="3">
      <w:start w:val="0"/>
      <w:numFmt w:val="bullet"/>
      <w:lvlText w:val="•"/>
      <w:lvlJc w:val="left"/>
      <w:pPr>
        <w:ind w:left="3255" w:hanging="360"/>
      </w:pPr>
      <w:rPr>
        <w:rFonts w:hint="default"/>
        <w:lang w:val="en-nz" w:eastAsia="zh-CN" w:bidi="ar-SA"/>
      </w:rPr>
    </w:lvl>
    <w:lvl w:ilvl="4">
      <w:start w:val="0"/>
      <w:numFmt w:val="bullet"/>
      <w:lvlText w:val="•"/>
      <w:lvlJc w:val="left"/>
      <w:pPr>
        <w:ind w:left="4283" w:hanging="360"/>
      </w:pPr>
      <w:rPr>
        <w:rFonts w:hint="default"/>
        <w:lang w:val="en-nz" w:eastAsia="zh-CN" w:bidi="ar-SA"/>
      </w:rPr>
    </w:lvl>
    <w:lvl w:ilvl="5">
      <w:start w:val="0"/>
      <w:numFmt w:val="bullet"/>
      <w:lvlText w:val="•"/>
      <w:lvlJc w:val="left"/>
      <w:pPr>
        <w:ind w:left="5311" w:hanging="360"/>
      </w:pPr>
      <w:rPr>
        <w:rFonts w:hint="default"/>
        <w:lang w:val="en-nz" w:eastAsia="zh-CN" w:bidi="ar-SA"/>
      </w:rPr>
    </w:lvl>
    <w:lvl w:ilvl="6">
      <w:start w:val="0"/>
      <w:numFmt w:val="bullet"/>
      <w:lvlText w:val="•"/>
      <w:lvlJc w:val="left"/>
      <w:pPr>
        <w:ind w:left="6339" w:hanging="360"/>
      </w:pPr>
      <w:rPr>
        <w:rFonts w:hint="default"/>
        <w:lang w:val="en-nz" w:eastAsia="zh-CN" w:bidi="ar-SA"/>
      </w:rPr>
    </w:lvl>
    <w:lvl w:ilvl="7">
      <w:start w:val="0"/>
      <w:numFmt w:val="bullet"/>
      <w:lvlText w:val="•"/>
      <w:lvlJc w:val="left"/>
      <w:pPr>
        <w:ind w:left="7367" w:hanging="360"/>
      </w:pPr>
      <w:rPr>
        <w:rFonts w:hint="default"/>
        <w:lang w:val="en-nz" w:eastAsia="zh-CN" w:bidi="ar-SA"/>
      </w:rPr>
    </w:lvl>
    <w:lvl w:ilvl="8">
      <w:start w:val="0"/>
      <w:numFmt w:val="bullet"/>
      <w:lvlText w:val="•"/>
      <w:lvlJc w:val="left"/>
      <w:pPr>
        <w:ind w:left="8395" w:hanging="360"/>
      </w:pPr>
      <w:rPr>
        <w:rFonts w:hint="default"/>
        <w:lang w:val="en-nz" w:eastAsia="zh-CN"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EastAsia" w:asciiTheme="minorHAnsi"/>
        <w:sz w:val="22"/>
        <w:szCs w:val="22"/>
        <w:lang w:val="en-US" w:bidi="ar-SA" w:eastAsia="zh-CN"/>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nz" w:eastAsia="zh-CN" w:bidi="ar-SA"/>
    </w:rPr>
  </w:style>
  <w:style w:styleId="BodyText" w:type="paragraph">
    <w:name w:val="Body Text"/>
    <w:basedOn w:val="Normal"/>
    <w:uiPriority w:val="1"/>
    <w:qFormat/>
    <w:pPr/>
    <w:rPr>
      <w:rFonts w:ascii="Arial" w:hAnsi="Arial" w:eastAsia="Arial" w:cs="Arial"/>
      <w:sz w:val="24"/>
      <w:szCs w:val="24"/>
      <w:lang w:val="en-nz" w:eastAsia="zh-CN" w:bidi="ar-SA"/>
    </w:rPr>
  </w:style>
  <w:style w:styleId="Title" w:type="paragraph">
    <w:name w:val="Title"/>
    <w:basedOn w:val="Normal"/>
    <w:uiPriority w:val="1"/>
    <w:qFormat/>
    <w:pPr>
      <w:spacing w:before="76"/>
      <w:ind w:left="113"/>
    </w:pPr>
    <w:rPr>
      <w:rFonts w:ascii="Arial" w:hAnsi="Arial" w:eastAsia="Arial" w:cs="Arial"/>
      <w:b/>
      <w:bCs/>
      <w:sz w:val="36"/>
      <w:szCs w:val="36"/>
      <w:lang w:val="en-nz" w:eastAsia="zh-CN" w:bidi="ar-SA"/>
    </w:rPr>
  </w:style>
  <w:style w:styleId="ListParagraph" w:type="paragraph">
    <w:name w:val="List Paragraph"/>
    <w:basedOn w:val="Normal"/>
    <w:uiPriority w:val="1"/>
    <w:qFormat/>
    <w:pPr>
      <w:spacing w:before="116"/>
      <w:ind w:left="833" w:hanging="358"/>
      <w:jc w:val="both"/>
    </w:pPr>
    <w:rPr>
      <w:rFonts w:ascii="Arial" w:hAnsi="Arial" w:eastAsia="Arial" w:cs="Arial"/>
      <w:lang w:val="en-nz" w:eastAsia="zh-CN" w:bidi="ar-SA"/>
    </w:rPr>
  </w:style>
  <w:style w:styleId="TableParagraph" w:type="paragraph">
    <w:name w:val="Table Paragraph"/>
    <w:basedOn w:val="Normal"/>
    <w:uiPriority w:val="1"/>
    <w:qFormat/>
    <w:pPr/>
    <w:rPr>
      <w:lang w:val="en-nz" w:eastAsia="zh-CN"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legislation.govt.nz/act/public/1993/0105/latest/DLM319570.html" TargetMode="External"/><Relationship Id="rId6" Type="http://schemas.openxmlformats.org/officeDocument/2006/relationships/hyperlink" Target="http://www.legislation.govt.nz/act/public/2013/0069/latest/DLM4090578.html" TargetMode="External"/><Relationship Id="rId7" Type="http://schemas.openxmlformats.org/officeDocument/2006/relationships/hyperlink" Target="http://www.legislation.govt.nz/act/public/1993/0107/latest/DLM325509.html" TargetMode="External"/><Relationship Id="rId8" Type="http://schemas.openxmlformats.org/officeDocument/2006/relationships/hyperlink" Target="http://legislation.govt.nz/act/public/1988/0004/latest/DLM126528.html" TargetMode="External"/><Relationship Id="rId9" Type="http://schemas.openxmlformats.org/officeDocument/2006/relationships/hyperlink" Target="http://www.legislation.govt.nz/act/public/2009/0051/latest/DLM1440598.html" TargetMode="External"/><Relationship Id="rId10" Type="http://schemas.openxmlformats.org/officeDocument/2006/relationships/hyperlink" Target="http://www.legislation.govt.nz/act/public/2009/0051/latest/whole.html#DLM1440599" TargetMode="External"/><Relationship Id="rId11" Type="http://schemas.openxmlformats.org/officeDocument/2006/relationships/hyperlink" Target="http://www.legislation.govt.nz/act/public/2020/0038/latest/LMS176172.html?search=qs_act%40bill%40regulation%40deemedreg_education%2Band%2Btraining%2Bact_resel_25_h&amp;p=1"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Ridgway</dc:creator>
  <dcterms:created xsi:type="dcterms:W3CDTF">2021-11-18T03:03:38Z</dcterms:created>
  <dcterms:modified xsi:type="dcterms:W3CDTF">2021-11-18T03:03:38Z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2021-08-25T00:00:00Z</vt:filetime>
  </property>
  <property fmtid="{D5CDD505-2E9C-101B-9397-08002B2CF9AE}" pid="3" name="Creator">
    <vt:lpwstr>Acrobat PDFMaker 21 for Word</vt:lpwstr>
  </property>
  <property fmtid="{D5CDD505-2E9C-101B-9397-08002B2CF9AE}" pid="4" name="LastSaved">
    <vt:filetime>2021-11-18T00:00:00Z</vt:filetime>
  </property>
</Properties>
</file>